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Referat från FSB:s informations- och utbildningsdagar i Gävle 30/5-1/6</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Dag 1, 30/5- 2012</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Ulrika Nolåker, FSB:s ordförande hälsade samtliga välkomna till 2012 års teknik- och informationsmöte i Gäve konserthus.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Kommunalfullmäktiges ordförande Daniel Olsson hälsade alla välkomna till Gävle och Gävle konserthus, där den i år hundraårsjubilerande Gävleborgs symfoniorkester har sin hemvist. Gävle har en betydande hamnverksamhet och är en viktig mötesplats mellan människor och kulturer.  Staden är känd för sitt järnvägsmuseum, kafferosteriet Gevalia samt Korsnäskoncernen och det statliga lantmäteriverket. I stadens närhet ligger även den populära Furuviksparken. I anslutning till hamnområdet byggs ett helt nytt bostadsområde där fokuseringen ligger på att minska segregationen. Miljonprogrammets bostadshus genomgår för tillfället en omfattande upprustning. Daniel påpekade vikten av att behandla all människor lika när vi tjänstemän och politiker möter allmänheten i den kommunala verksamheten. Han önskade oss lycka till med våra tre utbildningsdagar i Gävle konserthus.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Först på programmet var Peter Johansson, Boverket som  redogjorde för de nya energikraven i BBR 19. Ändring enligt BÄR kan tillämpas fram till den 1 januari 2013, då preciseringen av lag och förordning ersätter BÄR. De nya kraven vid ändring av byggnad är inte bindande under 2012. Det betyder att byggherren kan välja att använda kraven som en vägledning vid projektering och byggande. Vid ändring av byggnad skall hänsyn tas till ändringens omfattning och byggnadens förutsättningar. Kraven ställs bara på den del av byggnaden som ändras. De nya kraven för ändring finns sist i respektive avsnitt av BBR 19. Energihushållningskraven har skärpts successivt från BBR 12 (2006), då begreppet specifik energianvändning infördes till skärpta krav vid elvärme i BBR 16 (2009) till skärpta krav för övriga uppvärmningsformer i BBR 19.</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I BBR 19 har kraven på specifik energianvändning samt U-medelvärdet skärpts vad gäller både bostäder och lokaler som har annat uppvärmningssätt än elvärme. Ett nytt klassningssystem för byggnaders energianvändning har införts och gäller då byggherren vill ställa högre energikrav än de angivna kraven. Klassning utgår från klass A som anger låg energianvändning till klass G som anger hög energianvändning. Resultatet av energihushållningskraven i BBR leder enligt Peter Johansson till tydligare verifierbara funktionskrav, lägre energianvändning i nya byggnader samt ett ökat intresse att bygga bättre än minimikraven BBR.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Vad menas med tillsyn ? Yvonne Svensson, Rättschef på Boverket reder ut begreppen.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Det finns tre kriterier när det gäller tillsyn: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En självständig granskning av om ett tillsynsobjekt uppfyller krav som följer av lagar eller andra bindande förskrifter</w:t>
      </w:r>
    </w:p>
    <w:p w:rsidR="00D56D00" w:rsidRPr="00D56D00" w:rsidRDefault="00D56D00" w:rsidP="00D56D00">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Ger svar på frågan om det som granskas är ”rätt” eller ”fel” i förhållande till det aktuella kravet.</w:t>
      </w:r>
    </w:p>
    <w:p w:rsidR="00D56D00" w:rsidRPr="00D56D00" w:rsidRDefault="00D56D00" w:rsidP="00D56D00">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Kan leda till beslut om åtgärder som syftar till att åstadkomma rättelse.</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När skall myndigheten ingripa eller besluta om påföljd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Tillsynsmyndigheten skall pröva förutsättningarna och behovet av att ingripa eller besluta om påföljd enligt PBL 11 kap.</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….så snart det finns anledning att anta att någon inte följt bestämmelserna i PBL, föreskrifter, domar beslut eller EU – förordningar (PBL 11 kap. 5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Genom egeninitierad kontroll eller efter anmälningar.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I 1 kap. 6 § plan- och byggförordningen (PBF) finns tillsyn definierat som ”undersökning av en händelse eller resultat överensstämmer med en regel”.</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Vilken tillsyn har byggnadsnämnden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Enligt 8 kap. 2 § i PBF ansvarar byggnadsnämnden för tillsynen över att: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Byggherren fullgör sina skyldigheter enligt PBL och enligt tillhörande föreskrifter.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3"/>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Bestämmelserna i 8 kap. 1-18 och 24-26 § § och 9 kap. 10 kap. PBL och tillhörande bestämmelser.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När skall byggnadsnämnden utöva tillsyn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När en lovpliktig / anmälningspliktig åtgärd är påbörjad utan startbesked.</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När en åtgärd strider mot meddelat lov</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När en åtgärd strider mot ett tekniskt egenskapskrav</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Att motordrivna anordningar i byggnadsverk kontrolleras</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Att ventilationssystem kontrolleras på föreskrivet sätt (OVK)</w:t>
      </w:r>
    </w:p>
    <w:p w:rsidR="00D56D00" w:rsidRPr="00D56D00" w:rsidRDefault="00D56D00" w:rsidP="00D56D00">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Att ett byggnadsverk underhålls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Byggnadsnämndens tillsyn kan resultera i ingripanden och påföljder enligt följande:</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Förelägganden – eventuellt vite</w:t>
      </w:r>
    </w:p>
    <w:p w:rsidR="00D56D00" w:rsidRPr="00D56D00" w:rsidRDefault="00D56D00" w:rsidP="00D56D00">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Byggsanktionsavgift</w:t>
      </w:r>
    </w:p>
    <w:p w:rsidR="00D56D00" w:rsidRPr="00D56D00" w:rsidRDefault="00D56D00" w:rsidP="00D56D00">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Förbud mot fortsatt arbete eller åtgärd</w:t>
      </w:r>
    </w:p>
    <w:p w:rsidR="00D56D00" w:rsidRPr="00D56D00" w:rsidRDefault="00D56D00" w:rsidP="00D56D00">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Förbud mot fortsatt användning av byggnadsverk</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Vad är inte tillsyn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Genomförande av tekniskt samråd</w:t>
      </w:r>
    </w:p>
    <w:p w:rsidR="00D56D00" w:rsidRPr="00D56D00" w:rsidRDefault="00D56D00" w:rsidP="00D56D00">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Beslut om startbesked och fastställande av kontrollplan</w:t>
      </w:r>
    </w:p>
    <w:p w:rsidR="00D56D00" w:rsidRPr="00D56D00" w:rsidRDefault="00D56D00" w:rsidP="00D56D00">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Arbetsplatsbesök</w:t>
      </w:r>
    </w:p>
    <w:p w:rsidR="00D56D00" w:rsidRPr="00D56D00" w:rsidRDefault="00D56D00" w:rsidP="00D56D00">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Beslut om kompletterande villkor</w:t>
      </w:r>
    </w:p>
    <w:p w:rsidR="00D56D00" w:rsidRPr="00D56D00" w:rsidRDefault="00D56D00" w:rsidP="00D56D00">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Slutbesked</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Efter lunchen fortsatte programmet med en inspirerande föreläsning under rubriken ”Min håriga familj” kommunikation, känslor bekräftelse och ledarskap utan tal. Föreläsare var Ing-Mari Persson, Furuviksparken. Hon arbetar som primat- och utbildningsansvarig för schimpanserna i Furuviksparken. Hon har lärt sig mycket om sig själv genom att umgås och leva med schimpanserna under många år. Schimpanserna påpekar hon har en genuppsättning som är 98 % av människans. Ing-Mari har skrivit en bok som har titeln ”Ledarskap på apstadiet” Evolution för chefer och ledare. Hon föreläser för chefer och ledare runt om i Sverige. Furuviksparken har under hennes ledarskap blivit en mer levande och harmonisk plats för djuren. I 5 år tog hon hand om en schimpans som heter Santino. Santino har utvecklats till en unik schimpans som både kan planera och tänka strategiskt. Han har en förmåga att stanna upp och tänka efter. Schimpanser är enormt bra på att lyssna med ögonen. De har en förmåga att träna och kan blixtsnabbt avläsa sociala sammanhang. Schimpanserna är bra på att bekräfta varandra och utan feedback så uppstår ingen utveckling i schimpansgruppen. Det är närvaron som gör relationen.  Ing-Mari berättade att hon hade lärt schimpanserna att själva ta sprutor. Det är nämligen så att de har samma blodgrupper som vi människor.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Vi är inte så olika våra släktingar kan man väl säga. Vi har mycket att lära av våra vänner schimpanserna.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Men tyvärr har medaljen en baksida. Den naturliga balansen i regnskogen är på väg att försvinna. Avverkning och skövling av regnskogen skapar en omöjlig situation för de vilda schimpanserna runt om i världen.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Vi tackar Ing-Mari Persson för en mycket intressant och givande föreläsning.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Stig Åkerman, Boverket informerade om genomförande skedet enligt PBL kap 10 och innehållet i byggherrens kontrollplan. Kontrollplanen skall reglera kontroller, anmälningar och arbetsplatsbesök samt vara anpassad till det enskilda fallet och därmed kunna säkerställa de tekniska egenskapskraven och varsamhetskraven.  Kontrollerna kan ske inom byggherrens egenkontroll. I de fall byggherrens egenkontroll inte är tillräcklig kan byggnadsnämnden kräva att kontrollerna utförs av certifierade sakkunniga. Dessa sakkunniga måste då vara certifierade enligt Boverket regler. Det finns idag certifierade sakkunniga inom områdena, brand (SAK 1), kulturvärden (KUL 1), energiexperter (CEX 1), tillgänglighet (TIL 1) samt OVK (funktionskontroll av ventilationssystem).  Det pågår ett arbete för certifiering inom nya områden som t ex. projektering och utförande av betong-, trä- och stålkonstruktioner, utförande av geoteknik, fuktsäkerhet samt skydd mot buller.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Stig Åkerman redogjorde för att Boverket har tagit fram förslag till allmänna råd för den kontrollansvariges självständiga ställning. De allmänna råden anger följande:</w:t>
      </w:r>
    </w:p>
    <w:p w:rsidR="00D56D00" w:rsidRPr="00D56D00" w:rsidRDefault="00D56D00" w:rsidP="00D56D00">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Den kontrollansvarige bör inte ha ett nära släktskap med de personer som utför de åtgärder som ska kontrolleras.</w:t>
      </w:r>
    </w:p>
    <w:p w:rsidR="00D56D00" w:rsidRPr="00D56D00" w:rsidRDefault="00D56D00" w:rsidP="00D56D00">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Den kontrollansvarige bör inte arbeta på samma företag som de personer som utför de åtgärder som skall kontrolleras.</w:t>
      </w:r>
    </w:p>
    <w:p w:rsidR="00D56D00" w:rsidRPr="00D56D00" w:rsidRDefault="00D56D00" w:rsidP="00D56D00">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Byggherren eller den som är anställd hos byggherren kan vara kontrollansvarig under förutsättning att denne inte själv utför de åtgärder som skall kontrolleras.</w:t>
      </w:r>
    </w:p>
    <w:p w:rsidR="00D56D00" w:rsidRPr="00D56D00" w:rsidRDefault="00D56D00" w:rsidP="00D56D00">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Projektören kan vara kontrollansvarig.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Vägen till mer effektiva energideklarationer tas upp i propositionen 2011/12:120. Syftet är att stärka kvalitet och uppföljning genom en lag och förordning om energideklaration. Ändringar i lagen om energideklarationer som föreslås träda i kraft 1 juli 2012 är följande:</w:t>
      </w:r>
    </w:p>
    <w:p w:rsidR="00D56D00" w:rsidRPr="00D56D00" w:rsidRDefault="00D56D00" w:rsidP="00D56D00">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Krav på upprättande, uppvisande och överlämnande.</w:t>
      </w:r>
    </w:p>
    <w:p w:rsidR="00D56D00" w:rsidRPr="00D56D00" w:rsidRDefault="00D56D00" w:rsidP="00D56D00">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Energiprestanda skall anges vid annonsering.</w:t>
      </w:r>
    </w:p>
    <w:p w:rsidR="00D56D00" w:rsidRPr="00D56D00" w:rsidRDefault="00D56D00" w:rsidP="00D56D00">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Oberoende valideringskontroll genom stickprov.</w:t>
      </w:r>
    </w:p>
    <w:p w:rsidR="00D56D00" w:rsidRPr="00D56D00" w:rsidRDefault="00D56D00" w:rsidP="00D56D00">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Energideklarationer för alla byggnader &gt; 500 m</w:t>
      </w:r>
      <w:r w:rsidRPr="00D56D00">
        <w:rPr>
          <w:rFonts w:ascii="Arial" w:eastAsia="Times New Roman" w:hAnsi="Arial" w:cs="Arial"/>
          <w:color w:val="000000"/>
          <w:sz w:val="18"/>
          <w:szCs w:val="18"/>
          <w:vertAlign w:val="superscript"/>
          <w:lang w:eastAsia="sv-SE"/>
        </w:rPr>
        <w:t>2 </w:t>
      </w:r>
      <w:r w:rsidRPr="00D56D00">
        <w:rPr>
          <w:rFonts w:ascii="Arial" w:eastAsia="Times New Roman" w:hAnsi="Arial" w:cs="Arial"/>
          <w:color w:val="000000"/>
          <w:sz w:val="18"/>
          <w:szCs w:val="18"/>
          <w:lang w:eastAsia="sv-SE"/>
        </w:rPr>
        <w:t>som besöks av allmänheten.</w:t>
      </w:r>
    </w:p>
    <w:p w:rsidR="00D56D00" w:rsidRPr="00D56D00" w:rsidRDefault="00D56D00" w:rsidP="00D56D00">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Obligatorisk besiktning.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Ändringar som föreslås träda i kraft 1 juli 2014:</w:t>
      </w:r>
    </w:p>
    <w:p w:rsidR="00D56D00" w:rsidRPr="00D56D00" w:rsidRDefault="00D56D00" w:rsidP="00D56D00">
      <w:pPr>
        <w:numPr>
          <w:ilvl w:val="0"/>
          <w:numId w:val="9"/>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Slopande av ackreditering – obligatorisk personcertifiering.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Regeringen har fått i uppdrag att analysera kommunernas kompetensbehov inom PBL – området gällande:</w:t>
      </w:r>
    </w:p>
    <w:p w:rsidR="00D56D00" w:rsidRPr="00D56D00" w:rsidRDefault="00D56D00" w:rsidP="00D56D00">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Bygglov och byggkontroll</w:t>
      </w:r>
    </w:p>
    <w:p w:rsidR="00D56D00" w:rsidRPr="00D56D00" w:rsidRDefault="00D56D00" w:rsidP="00D56D00">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Sammanställa utbildningsplatser som finns</w:t>
      </w:r>
    </w:p>
    <w:p w:rsidR="00D56D00" w:rsidRPr="00D56D00" w:rsidRDefault="00D56D00" w:rsidP="00D56D00">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Bedöma hur framtida behov av kompetens kan mötas</w:t>
      </w:r>
    </w:p>
    <w:p w:rsidR="00D56D00" w:rsidRPr="00D56D00" w:rsidRDefault="00D56D00" w:rsidP="00D56D00">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Samråd med länsstyrelsen, SKL och andra berörda aktörer</w:t>
      </w:r>
    </w:p>
    <w:p w:rsidR="00D56D00" w:rsidRPr="00D56D00" w:rsidRDefault="00D56D00" w:rsidP="00D56D00">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Redovisning av uppdraget sker senast den 31 oktober 2012</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En utredning för översyn av vissa byggfrågor har tillsatts av regeringen. Utredare är Björn Hedlund. Syftet med utredningen är att kartlägga kommunernas tillämpning av bestämmelserna om tekniska egenskapskrav i PBL, PBF samt BBR. Analysering skall utföras av vilka effekter tillämpningen av de tekniska egenskapskraven samt kommunernas särkrav har på byggkostnaderna samt den hållbara samhällsutvecklingen. Utredning skall ta upp förutsättningarna att dela upp byggherreansvaret vid bostadsbyggande på olika aktörer. Utredningen skall redovisas senast den 3 november 2012.</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Ökad tillgänglighet till byggstandarder har diskuterats efter det att en skrivelse inkommit till regeringen.</w:t>
      </w:r>
    </w:p>
    <w:p w:rsidR="00D56D00" w:rsidRPr="00D56D00" w:rsidRDefault="00D56D00" w:rsidP="00D56D00">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Standarder är en integrerad del av regelverket och borde därmed vara fritt tillgängliga</w:t>
      </w:r>
    </w:p>
    <w:p w:rsidR="00D56D00" w:rsidRPr="00D56D00" w:rsidRDefault="00D56D00" w:rsidP="00D56D00">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Ökad tillgänglighet minskar risken för fel och olyckor</w:t>
      </w:r>
    </w:p>
    <w:p w:rsidR="00D56D00" w:rsidRPr="00D56D00" w:rsidRDefault="00D56D00" w:rsidP="00D56D00">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Ökad användning av standarder bidrar till ett hållbart samhälle</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Yvonne Svensson, Boverket tog upp frågan om sanktionsavgifter i den nya PBL – lagstiftningen. Boverket får väldigt många frågor om hur beräkningen skall utföras. Det behövs en ny struktur och sanktionsbeloppen ska ses över. Det finns förslag på att dela upp sanktioner för nybyggnad, tillbyggnad och ändrad användning etc. Det skall kosta att inte sköta sig, men det skall inte vara orimligt.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Hur blev den nya lagstiftningen ? Rune Johansson, Byggutbildarna och Sven-Åke Sonesson reflekterar ett år efter införandet av den nya PBL – lagstiftningen.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I 12 kap. PBL står det att det är ett krav på att byggnadsnämnderna skall ha minst en arkitektutbildad person anställd och i övrigt skall det finnas kompetens så att byggnadsnämnden skall kunna fullgöra sina uppgifter. Har alla kommuner den kompetens som behövs för att klara de tekniska frågorna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En annan frågeställning som kom upp är om det finns tillräckligt med certifierade kontrollansvariga idag ? Det kommer att krävas omfattande utbildningsinsatser för att tillgodose behovet. Boverket bedömer att det behövs mellan 4000-8000 kontrollansvariga i Sverige vi årsskiftet 2012/2013. Idag finns det uppskattningsvis 2000 certifierade kontrollansvariga att tillgå.</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Kontrollansvariga har fått en tydligare roll i den nya lagstiftningen i förhållande till den äldre lagstiftningen. PBL kap. 10 klargör vilket ansvar KA har.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Kontrollplanen har fått ett tydligare innehåll genom att PBL anger vad den skall innehålla. En kontrollplan skall vara anpassad till projektets art och behandla de kritiska momenten inom varje väsentligt krav område enligt PBL kap. 8 § 4 (de tekniska egenskapskraven).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Frågorna som kvarstår: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Har kommunerna de resurser som krävs för att klara kraven den nya plan- och bygglagen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Finns det tillräckligt med kontrollansvariga vid årsskiftet 2012/2013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Efter detta intressanta och fullspäckade programutbud avrundades dagen med föreningens årsmöte samt ett besök hos våra utställare i konferenslokalerna.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Referat från FSB:s informations- och utbildningsdagar i Gävle 30/5-1/6</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Dag 2, 31/5- 2012</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Dagen inleddes med föreläsning av Alf Hagberg. Alf verkar som bland annat kontrollansvarig i Nyköpings kommun med omnejd och han gav oss åhörare en inblick i vad det innebär att arbeta som kontrollansvarig och även hur den nya lagstiftningen påverkade ka-uppdragen.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Kontrollansvarig kommer in tidigare i projekt och ges bättre möjlighet att påverka i de frågor som berör KA. Lagen ger stöd för en utförligare kontrollplan och startbesked med krav på långt gången projektering ger bättre förutsättningar för KA att fullgöra sina åtagande. KA har fått en stärkt roll och högre status i byggprojekten. Krav på projektering innan start innebär svårigheter att få startbesked och komma igång tidigt med byggarbeten vid totalentreprenader. Tydligt krav på KA om att dokumentera besök och avge utlåtande är bra och sammantaget bör förändrade krav också ge rättvisare konkurrens mellan KA.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Kontrollplanen ska vara tydlig och det ska framgå vem som intygar vad i kontrollplanen. Vad man kontrollerar mot ska också framgå. Kontrollplanen ska vara projektanpassad och inte generell, byggnadsinspektörerna måste ställa krav på kontrollplanens utförande. För att tillämpa nya PBL kap. 10 krävs att byggnadsnämnderna är flexibla och kan jobba processinriktat. Byggnadsinspektörerna måste rikta insatserna mot de objekt med störst risk och anpassa tillsyn och kontroll därefter. Delstartbesked och interimistiska slutbesked måste förmodligen ofta ges för att möta byggherrens krav och ändå uppfylla myndighetsrollen.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Information från utställarna tog vid efter Alf Hagbergs föredrag. Gar-Bo besiktning AB, Kiwa Swedcert, LinTec Rehab och SPSITAC höll korta presentationer för oss.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Från Bengt Dahlgren, avdelning Brand och Risk kom Per-Anders Morberg och berättade om de nya brandskyddsreglerna i BBR.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Förenklad dimensionering kan användas om lösningar i kap. 5 i BBR används fullt ut. Analytisk dimensionering ska göras då alternativa lösningar till BBR:s görs, om mer än två tekniska byten mot BBR används och om byggnader tillhör byggnadsklass Br0. En brandskyddsdokumentation ska redovisa hur den uppförda byggnadens brandskydd är utformat. Dokumentationen bör också beskriva förutsättningar som kan innebära begränsningar för hur byggnaden används, t.ex. ange antal personer som lokalerna är dimensionerade för och vilken brandbelastning som brandskyddet är dimensionerat för.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Om ett automatiskt släcksystem ska tillgodose kraven i fler än två föreskrifter ska analytisk dimensionering tillämpas. För de verksamheter för vilka det finns krav på automatiskt släcksystem i föreskrift (Vk 5A och 5B) ska analytisk dimensionering tillämpas.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Utrymmen i byggnader ska, utifrån avsedd verksamhet, delas in i verksamhetsklasser (Vk). Indelningen beror på vilken utsträckning personerna har kännedom om byggnaden och dess utrymningsmöjligheter, om personerna till största delen kan utrymma på egen hand, om personerna kan förväntas vara vakna, samt om förhöjd risk för uppkomst av brand förekommer eller där en brand kan få ett mycket snabbt och omfattande förlopp. Lägsta klass, VK 1, kännetecknas av hög mobilitet, god lokalkännedom och vakenhet och högsta klass, VK 6, omfattar lokaler med förhöjd sannolikhet för uppkomst av brand eller där en brand kan få ett mycket snabbt och omfattande förlopp.</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En ny byggnadsklass har införts, byggnader med mycket stort skyddsbehov ska utformas i byggnadsklass Br0, ex. höghus fler än 16 våningsplan, sjukhus, samlingslokal ovan/under markplan, byggnader i Vk 5D. Klassbeteckningar har kompletterats med klasser S</w:t>
      </w:r>
      <w:r w:rsidRPr="00D56D00">
        <w:rPr>
          <w:rFonts w:ascii="Arial" w:eastAsia="Times New Roman" w:hAnsi="Arial" w:cs="Arial"/>
          <w:color w:val="000000"/>
          <w:sz w:val="18"/>
          <w:szCs w:val="18"/>
          <w:vertAlign w:val="subscript"/>
          <w:lang w:eastAsia="sv-SE"/>
        </w:rPr>
        <w:t>a</w:t>
      </w:r>
      <w:r w:rsidRPr="00D56D00">
        <w:rPr>
          <w:rFonts w:ascii="Arial" w:eastAsia="Times New Roman" w:hAnsi="Arial" w:cs="Arial"/>
          <w:color w:val="000000"/>
          <w:sz w:val="18"/>
          <w:szCs w:val="18"/>
          <w:lang w:eastAsia="sv-SE"/>
        </w:rPr>
        <w:t> eller S</w:t>
      </w:r>
      <w:r w:rsidRPr="00D56D00">
        <w:rPr>
          <w:rFonts w:ascii="Arial" w:eastAsia="Times New Roman" w:hAnsi="Arial" w:cs="Arial"/>
          <w:color w:val="000000"/>
          <w:sz w:val="18"/>
          <w:szCs w:val="18"/>
          <w:vertAlign w:val="subscript"/>
          <w:lang w:eastAsia="sv-SE"/>
        </w:rPr>
        <w:t>m</w:t>
      </w:r>
      <w:r w:rsidRPr="00D56D00">
        <w:rPr>
          <w:rFonts w:ascii="Arial" w:eastAsia="Times New Roman" w:hAnsi="Arial" w:cs="Arial"/>
          <w:color w:val="000000"/>
          <w:sz w:val="18"/>
          <w:szCs w:val="18"/>
          <w:lang w:eastAsia="sv-SE"/>
        </w:rPr>
        <w:t>avseende brandgastäthet för dörrar.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Handbokstexter har införts som ”bör”-krav i de allmänna råden och varje avsteg från ett ”bör”-krav ställer krav på analytisk dimensionering. Förändringar har införts gällande utrymningsvägar, bl.a. behöver inte fönster inte vara sidohängda och utrymningsvägar som betjänar fler än 150 personer bör ha en fri bredd på minst 1,20 m.</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Vindsutrymmen bör delas in i brandceller om högst 400 m</w:t>
      </w:r>
      <w:r w:rsidRPr="00D56D00">
        <w:rPr>
          <w:rFonts w:ascii="Arial" w:eastAsia="Times New Roman" w:hAnsi="Arial" w:cs="Arial"/>
          <w:color w:val="000000"/>
          <w:sz w:val="18"/>
          <w:szCs w:val="18"/>
          <w:vertAlign w:val="superscript"/>
          <w:lang w:eastAsia="sv-SE"/>
        </w:rPr>
        <w:t>2</w:t>
      </w:r>
      <w:r w:rsidRPr="00D56D00">
        <w:rPr>
          <w:rFonts w:ascii="Arial" w:eastAsia="Times New Roman" w:hAnsi="Arial" w:cs="Arial"/>
          <w:color w:val="000000"/>
          <w:sz w:val="18"/>
          <w:szCs w:val="18"/>
          <w:lang w:eastAsia="sv-SE"/>
        </w:rPr>
        <w:t> med brandcellsgränser i lägst klass EI 30. Därutöver bör vindsutrymmen delas upp i delar om högst 1 200 m</w:t>
      </w:r>
      <w:r w:rsidRPr="00D56D00">
        <w:rPr>
          <w:rFonts w:ascii="Arial" w:eastAsia="Times New Roman" w:hAnsi="Arial" w:cs="Arial"/>
          <w:color w:val="000000"/>
          <w:sz w:val="18"/>
          <w:szCs w:val="18"/>
          <w:vertAlign w:val="superscript"/>
          <w:lang w:eastAsia="sv-SE"/>
        </w:rPr>
        <w:t>2 </w:t>
      </w:r>
      <w:r w:rsidRPr="00D56D00">
        <w:rPr>
          <w:rFonts w:ascii="Arial" w:eastAsia="Times New Roman" w:hAnsi="Arial" w:cs="Arial"/>
          <w:color w:val="000000"/>
          <w:sz w:val="18"/>
          <w:szCs w:val="18"/>
          <w:lang w:eastAsia="sv-SE"/>
        </w:rPr>
        <w:t>med brandcellsgränser i lägst klass EI 60. Risken för brandspridning från fönster till vind via takfot bör begränsas, t.ex. genom att takfoten utförs med avskiljande förmåga som motsvarar brandcellskravet.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TimesNewRoman" w:eastAsia="Times New Roman" w:hAnsi="TimesNewRoman"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Sprinkler ska installeras i VK 5B och i VK 5C, det accepteras med boendesprinkler i VK 5B. Stora byggnader ska utformas så att omfattande brandspridning inom byggnad begränsas. Om byggnader utförs med automatisk vattensprinkleranläggning erfordras ingen sektionering oavsett storlek på byggnad.</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Tomt- och fastighetsbegreppet finns inte i nya BBR., istället sammanbyggda och fristående byggnader och en byggnad kan klassas i olika byggnadsklasser. Räddningstjänstens insatsmöjlighet är inte längre en faktor att ta hänsyn till. Föreskrifter i BBR gäller inte komplementbyggnader mindre än 15 m</w:t>
      </w:r>
      <w:r w:rsidRPr="00D56D00">
        <w:rPr>
          <w:rFonts w:ascii="Arial" w:eastAsia="Times New Roman" w:hAnsi="Arial" w:cs="Arial"/>
          <w:color w:val="000000"/>
          <w:sz w:val="18"/>
          <w:szCs w:val="18"/>
          <w:vertAlign w:val="superscript"/>
          <w:lang w:eastAsia="sv-SE"/>
        </w:rPr>
        <w:t>2</w:t>
      </w:r>
      <w:r w:rsidRPr="00D56D00">
        <w:rPr>
          <w:rFonts w:ascii="Arial" w:eastAsia="Times New Roman" w:hAnsi="Arial" w:cs="Arial"/>
          <w:color w:val="000000"/>
          <w:sz w:val="18"/>
          <w:szCs w:val="18"/>
          <w:lang w:eastAsia="sv-SE"/>
        </w:rPr>
        <w: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Byggnader ska vid ändring uppfylla nybyggnadskrav på brandskydd, kraven får dock tillgodoses på annat sätt om motsvarande säkerhetsnivå ändå uppnås. Avsteg från säkerhetsnivån får göras om det finns synnerliga skäl med hänsyn till ändringens omfattning och byggnadens förutsättningar. För att identifiera skicket på befintligt brandskydd för berörd del av byggnaden bör en genomgång av befintliga skyddssystem göras. Sakkunnig certifierad brand kan krävas av byggnadsnämnden om ex.vis byggherrens egenkontroll är otillräcklig, om kontroll krävs för någon del av brandskyddet eller för att säkerställa förutsättningar och tillvägagångssätt vid analytisk dimensionering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Jan-Olof Nylander avslutade föreläsningarna för dagen med att prata om Eurokoder</w:t>
      </w:r>
      <w:r w:rsidRPr="00D56D00">
        <w:rPr>
          <w:rFonts w:ascii="Arial" w:eastAsia="Times New Roman" w:hAnsi="Arial" w:cs="Arial"/>
          <w:color w:val="000000"/>
          <w:sz w:val="18"/>
          <w:szCs w:val="18"/>
          <w:lang w:eastAsia="sv-SE"/>
        </w:rPr>
        <w: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Eurokoder, dimensioneringsregler för bärande konstruktioner.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Eurokoder infördes för att underlätta handeln med varor och tjänster på byggområdet, skapa en stor byggmarknad och öka konkurrensen inom EU.</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Byggproduktförordningen( CPR) innebär att de nationella standardiseringsorganen måste föra in EN-standarder i sina samlingar av nationella standarder. SIS i Sverige. Föreskrivande byggmyndigheter måste hänvisa till dem i sina föreskrifter, i Sverige gäller det Boverket och Vägverket.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Eurokoderna ska användas vid nybyggnad, tillbyggnad, berörd del vid ändring och vid mark- och rivningsarbeten. Tillämpningen av Eurokerna regleras av EKS, Europeiska konstruktionsstandarder, utgivna av Boverket där senast utgivna är EKS 8.</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Eurokoderna ligger till grund för 58 EN-standarder inom 10 huvudområden gällande grundläggande regler, laster och regler för konstruktioner med olika material.</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EKS 8 anger ex.vis krav på materialegenskaper i bärande konstruktioner och krav på att en konstruktion ska projekteras och utföras enligt bygghandlingar. Krav på dimensioneringskontroll anges också i EKS. Vad gäller nyttiga laster på bjälklag så ska alla laster antas vara fria. Lastvärdena är summan av de bundna och de fria delarna.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Dimensionering av bärförmåga vid brand är från och med BBR18 överförd till EKS/Eurokoder. Ett nytt begrepp Brandsäkerhetsklass har införts. Klass 1 innebär ringa risk för personskada och klass 5 mycket stor risk.</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För tillämpning av EN-standard avseende snölast och vindlast gäller samma snölastkarta och samma karta för referensvindhastigheter som i BKR13. Samma redovisning per kommun som i BKR13 gäller också.</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Tillämpning av EKS innehåller de formella föreskrifterna för att få använda Eurokoderna i Sverige och de svenska nationella valen. Dessa är som regel formulerade som föreskrifter. Både EKS och Eurokoderna behövs samtidigt vid dimensioneringen. För BN torde EKS vara mest intressant.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Efter lunch fick deltagarna göra ett studiebesök på Sveriges Järnvägsmuseum i Gävle, där finns en av världens finaste järnvägshistoriska samlingar. Resan till museet gick med ett tåg som drevs av ett ånglok från Trafikverket vilket fortfarande är i drift för olika uppdrag. Ångloket byggdes i Trollhättan 1907 och var i drift in på 60-talet, även personvagnarna var av modell äldre vilket medförde att en och annan herre /dam i skaran fick uppleva känslor från svunnen tid.</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Efter besöket i museet var det dags för transport till begivenheterna för kvällen, middag på restaurang Bryggan i Furuvik. Färden gick med tidigare benämnda tåg till Furuvik, följt av en promenad genom Furuviksparken i en något för årstiden kylslagen afton. Efter en delikat trerättersmiddag företogs hemfärd från Furuvik med tåget.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Referat från FSB:s informations- och utbildningsdagar i Gävle 30/5-1/6</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lastRenderedPageBreak/>
        <w:t>Dag 3, 1/6- 2012</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b/>
          <w:b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Taxan, hur blev det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Anna Eklund, Sveriges kommuner och landsting (SKL) reder ut begreppen.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Varför pågår en omarbetning av taxan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Taxan skall vara lätt att förstå och vara pedagogiskt upplagd</w:t>
      </w:r>
    </w:p>
    <w:p w:rsidR="00D56D00" w:rsidRPr="00D56D00" w:rsidRDefault="00D56D00" w:rsidP="00D56D00">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Den skall inte kunna tolkas på flera sätt i landets kommuner</w:t>
      </w:r>
    </w:p>
    <w:p w:rsidR="00D56D00" w:rsidRPr="00D56D00" w:rsidRDefault="00D56D00" w:rsidP="00D56D00">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Den skall ge ett stöd för hur den egna verksamhetens kostnader skall beräknas</w:t>
      </w:r>
    </w:p>
    <w:p w:rsidR="00D56D00" w:rsidRPr="00D56D00" w:rsidRDefault="00D56D00" w:rsidP="00D56D00">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Skapa samsyn med andra myndighetsområden (t ex. brand, miljö, livsmedel)</w:t>
      </w:r>
    </w:p>
    <w:p w:rsidR="00D56D00" w:rsidRPr="00D56D00" w:rsidRDefault="00D56D00" w:rsidP="00D56D00">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Möjlig att automatisera i ett digitalt ärendehanteringsstöd</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Vad behövs i kommunen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Bra redskap för finansiering av verksamheten</w:t>
      </w:r>
    </w:p>
    <w:p w:rsidR="00D56D00" w:rsidRPr="00D56D00" w:rsidRDefault="00D56D00" w:rsidP="00D56D00">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Jämförelse med andra kommuner</w:t>
      </w:r>
    </w:p>
    <w:p w:rsidR="00D56D00" w:rsidRPr="00D56D00" w:rsidRDefault="00D56D00" w:rsidP="00D56D00">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En resurseffektiv debitering</w:t>
      </w:r>
    </w:p>
    <w:p w:rsidR="00D56D00" w:rsidRPr="00D56D00" w:rsidRDefault="00D56D00" w:rsidP="00D56D00">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Nöjda kunder som får veta vad ett bygglov kostar och får veta vad man betalar för. Transparent och förutsägbart. Det är ok att betala om vet vad man betalar för.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Hur går vi vidare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Utveckling av den nuvarande modellen med tydligare koppling till den egna verksamhetens kostnader</w:t>
      </w:r>
    </w:p>
    <w:p w:rsidR="00D56D00" w:rsidRPr="00D56D00" w:rsidRDefault="00D56D00" w:rsidP="00D56D00">
      <w:pPr>
        <w:numPr>
          <w:ilvl w:val="0"/>
          <w:numId w:val="14"/>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Ta fram underlag för att beräkna resursbehovet och verksamhetens kostnader samt den genomsnittliga tidsåtgången för olika ärendetyper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Viktiga principer att ta hänsyn till:</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Självkostnadsprincipen (ingen vinst)</w:t>
      </w:r>
    </w:p>
    <w:p w:rsidR="00D56D00" w:rsidRPr="00D56D00" w:rsidRDefault="00D56D00" w:rsidP="00D56D00">
      <w:pPr>
        <w:numPr>
          <w:ilvl w:val="0"/>
          <w:numId w:val="15"/>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Likställighetsprincipen (lika för alla)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Arbetet med att skapa en väl förankrad taxa går vidare med bildandet av en arbetsgrupp och en referensgrupp som skall vara klara med sina uppdrag, så att remissförfarandet kan påbörjas i februari 2013.</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Yvonne Svensson, Boverket presenterade två aktuella rättsfall.</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6"/>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Detta rättsfall (MMÖD P7834-11) gäller mindre avvikelse.</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Detaljplanen för fastigheten föreskriver endast enfamiljsboende och endast en lägenhet per fastighet. Byggnadsarea 150 m</w:t>
      </w:r>
      <w:r w:rsidRPr="00D56D00">
        <w:rPr>
          <w:rFonts w:ascii="Arial" w:eastAsia="Times New Roman" w:hAnsi="Arial" w:cs="Arial"/>
          <w:color w:val="000000"/>
          <w:sz w:val="18"/>
          <w:szCs w:val="18"/>
          <w:vertAlign w:val="superscript"/>
          <w:lang w:eastAsia="sv-SE"/>
        </w:rPr>
        <w:t>2 </w:t>
      </w:r>
      <w:r w:rsidRPr="00D56D00">
        <w:rPr>
          <w:rFonts w:ascii="Arial" w:eastAsia="Times New Roman" w:hAnsi="Arial" w:cs="Arial"/>
          <w:color w:val="000000"/>
          <w:sz w:val="18"/>
          <w:szCs w:val="18"/>
          <w:lang w:eastAsia="sv-SE"/>
        </w:rPr>
        <w:t>och byggnadshöjd 4,5 m. Klaganden hävdar att byggnaden är 8,5 m lång och 7-7,5 m hög. Enligt byggnadsnämnden är byggnadshöjden för tillbyggnaden ca. 4,2 m och föreslagen takkupa på befintlig byggnad 5,6 m. Tillbyggnaden uppförs i vinkel mot befintlig byggnad, som har sin södra fasad vänd mot och parallell med närliggande väggs längdriktning. Östra fasaden blir längst och kan till viss del ses som från vägen.</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MMÖD:</w:t>
      </w:r>
      <w:r w:rsidRPr="00D56D00">
        <w:rPr>
          <w:rFonts w:ascii="Arial" w:eastAsia="Times New Roman" w:hAnsi="Arial" w:cs="Arial"/>
          <w:color w:val="000000"/>
          <w:sz w:val="18"/>
          <w:szCs w:val="18"/>
          <w:lang w:eastAsia="sv-SE"/>
        </w:rPr>
        <w:t> valde södra fasaden som beräkningsgrundande, byggnadshöjden blir då 7,1 m. Även östra fasaden ger en byggnadshöjd på 7,1 m. Beräknad byggnadshöjd avviker 2,6 m från tillåten höjd. Avvikelsen kan därmed inte anses vara mindre.</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numPr>
          <w:ilvl w:val="0"/>
          <w:numId w:val="17"/>
        </w:numPr>
        <w:shd w:val="clear" w:color="auto" w:fill="FFFFFF"/>
        <w:spacing w:after="0" w:line="240" w:lineRule="auto"/>
        <w:rPr>
          <w:rFonts w:ascii="Times New Roman" w:eastAsia="Times New Roman" w:hAnsi="Times New Roman" w:cs="Times New Roman"/>
          <w:color w:val="6C6C6C"/>
          <w:sz w:val="24"/>
          <w:szCs w:val="24"/>
          <w:lang w:eastAsia="sv-SE"/>
        </w:rPr>
      </w:pPr>
      <w:r w:rsidRPr="00D56D00">
        <w:rPr>
          <w:rFonts w:ascii="Arial" w:eastAsia="Times New Roman" w:hAnsi="Arial" w:cs="Arial"/>
          <w:color w:val="000000"/>
          <w:sz w:val="18"/>
          <w:szCs w:val="18"/>
          <w:lang w:eastAsia="sv-SE"/>
        </w:rPr>
        <w:t>Detta rättsfall (MMÖD 285-12) gäller fasadändring.</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Byggnadsnämnden avslog ansökan om bygglov för fasadändring. Putsning av fasad efter tilläggsisolering och ändring av fönstersättning och balkonger. Det finns inget bevarandeprogram, men åtgärden bedömdes ändå uppfylla ÄPBL 3 kap. 12 §. Länsstyrelsen gick på byggnadsnämndens linje. </w:t>
      </w:r>
      <w:r w:rsidRPr="00D56D00">
        <w:rPr>
          <w:rFonts w:ascii="Arial" w:eastAsia="Times New Roman" w:hAnsi="Arial" w:cs="Arial"/>
          <w:color w:val="000000"/>
          <w:sz w:val="18"/>
          <w:szCs w:val="18"/>
          <w:u w:val="single"/>
          <w:lang w:eastAsia="sv-SE"/>
        </w:rPr>
        <w:t>MMD</w:t>
      </w:r>
      <w:r w:rsidRPr="00D56D00">
        <w:rPr>
          <w:rFonts w:ascii="Arial" w:eastAsia="Times New Roman" w:hAnsi="Arial" w:cs="Arial"/>
          <w:color w:val="000000"/>
          <w:sz w:val="18"/>
          <w:szCs w:val="18"/>
          <w:lang w:eastAsia="sv-SE"/>
        </w:rPr>
        <w:t> upphävde BN:s beslut och återförvisade ärendet med motiveringen: Det saknas bedömning av nya estetiska värden som ska vägas mot de som förloras. Kommunikationen med fastighetsägaren har inte varit tillräcklig och har skett först i samband med bygglovsansökan. Ingen avvägning har gjorts mellan allmänna och enskilda intressen. MMÖD anser att MMD saknar grund för återförvisning av ärendet. Underlaget är inte tillräckligt. Både BN och länsstyrelsen har gjort avvägning mellan allmänna och enskilda intressen och det finns därmed inget krav på att byggnader ska vara skyddade som byggnadsminne eller enligt detaljplan för att åtnjuta skydd enligt ÄPBL 3 kap. 10 och 12 §§. Det finns inget krav på att bedömning av fastighetens kulturhistoriska och arkitektoniska värden ska kommuniceras med fastighetsägare innan frågan uppkommer vid ansökan om lov. Eventuellt nya värden kan inte vägas mot de förlorade.</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Yvonne Svensson, Boverket tog upp de tolkningsproblemen som finns i den nya plan-och bygglagen.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Definitioner: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Vid ombyggnad/påtaglig krävs det minst en lovpliktig åtgärd för att det skall vara ombyggnad. Begreppet sammanhållen bebyggelse – behövs detta begrepp ? Kan skapa förvirring.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Utformningskrav kontra tekniska egenskapskrav:</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Vid anmälningspliktiga åtgärder prövas inte PBL 8 kap. 1 §. Vid prövning av utformningskraven får BN inte kräva en certifierad sakkunnig.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Anmälningsplikt eller inte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Det är svårt att förstå PBF 6 kap. 6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Pkt. 1: tex braskaminer i friggebodar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Pkt. 2: tex va-installation i ekonomibyggnader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Pkt  3: Ändring som väsentligt påverkar brandskyddet – stat och landsting</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Delar av ÄPBL 3 kap 1 § gällde även vid icke lovpliktiga åtgärder, tex friggebodar. Nu finns reglerna i PBL 2 kap. 6 §, men tillämpas endast vid beslut om lov – dvs inte för friggebodar.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Tidsbegränsade lov</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Tidsbegränsade bygglov får ges om inte alla krav är uppfyllda ( tex tillgängligheten enligt 8 kap. 1 §). Varför finns detta undantag ?  Boverket har påpekat detta till socialdepartementet.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Anmälan/utformningskrav</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Hur hanteras utformningskraven i anmälningspliktiga ärenden ? PBL 10 kap. 7 § hindrar att kontroller av utformningskraven tas med i kontrollplanen.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Det nya sanktionssystemet</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Sanktioner beräknas med stöd av PBL 11 kap. 52 §. Begreppet rättelse används på samma sätt men får en annan innebörd. Kombinationen sanktionsavgift/vite kan beslutas av BN. Det blir överinstans som avgör.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Strukturen i PBF bör ses över. Starbeskeden bör delas upp i ärendetyper för att få en bättre struktur.</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lastRenderedPageBreak/>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Den sista programpunkten ställer frågan. Hur hanterar vi den nya lagstiftningen i landets kommuner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Diskussionen leddes av moderatorn Stig Åkerman, Boverket. Panelen bestod av Yvonne Svensson, Boverket, Magdi Dobi, KARF, Pia Hermansson FSV, Peter Nilsson, Sveriges byggindustrier, Anna Eklund SKL och Kajsa Reimers, Länsstyrelsen i Västra Götaland.</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u w:val="single"/>
          <w:lang w:eastAsia="sv-SE"/>
        </w:rPr>
        <w:t>Här följer en sammanfattning av det som togs upp under paneldiskussionen: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Nya PBL är en klar förbättring i förhållande till ÄPBL. Den skapar mindre oklarheter med en mer sammanhållen process. Kontrollansvarigs roll har stärkts och blivit tydligare. Det finns en stor fördel i att göra arbetsplatsbesök och att starbesked krävs för att påbörja en åtgärd samt att det krävs slutbesked för att ta en byggnad eller anläggning i bruk.</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 nya PBL har ställt stora krav på både kommuner och länsstyrelser. Administrationen har ökat vilket fordrar att nya arbetssätt måste införas.</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Det finns en oro i landets kommuner att inte personalresurserna räcker till med tanke på alla de nya momenten i lagstiftningen.</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När det gäller sanktionsavgiften måste den tas ut inom fem år från lagakraftvunnet lov.</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Det saknas definitioner att ta i bruk. Är det när verksamheten startar (dvs montering av inredning)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Yvonne Svensson påpekar att det kommer att göras justeringar av uppenbara felaktigheter och felskrivningar (tex sanktionsavgifterna). Översynen av sanktionssystemet skall påbörjas inom kort. Enligt Yvonne Svensson så skall översynen vara klar de 31/12-2012. Rådet Yvonne ger är att följa lagen annars gör kommunen fel. Hon syftar då på utdömande av sanktionsavgifterna.</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FSB:s styrelse tackar alla medverkande och deltagare för dessa tre intressanta och lärorika dagar i Gävle och hälsar alla välkomna till nästa års tekniska informationsmöte i Tylösand 2013.</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 </w:t>
      </w:r>
    </w:p>
    <w:p w:rsidR="00D56D00" w:rsidRPr="00D56D00" w:rsidRDefault="00D56D00" w:rsidP="00D56D00">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56D00">
        <w:rPr>
          <w:rFonts w:ascii="Arial" w:eastAsia="Times New Roman" w:hAnsi="Arial" w:cs="Arial"/>
          <w:i/>
          <w:iCs/>
          <w:color w:val="000000"/>
          <w:sz w:val="18"/>
          <w:szCs w:val="18"/>
          <w:lang w:eastAsia="sv-SE"/>
        </w:rPr>
        <w:t>Styrelsen Föreningen Sveriges Byggnadsinspektörer</w:t>
      </w:r>
    </w:p>
    <w:p w:rsidR="00327596" w:rsidRDefault="00327596">
      <w:bookmarkStart w:id="0" w:name="_GoBack"/>
      <w:bookmarkEnd w:id="0"/>
    </w:p>
    <w:sectPr w:rsidR="003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6E95"/>
    <w:multiLevelType w:val="multilevel"/>
    <w:tmpl w:val="1CE6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9293C"/>
    <w:multiLevelType w:val="multilevel"/>
    <w:tmpl w:val="2E0C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D80E9F"/>
    <w:multiLevelType w:val="multilevel"/>
    <w:tmpl w:val="487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3B61BA"/>
    <w:multiLevelType w:val="multilevel"/>
    <w:tmpl w:val="D59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8D4CB9"/>
    <w:multiLevelType w:val="multilevel"/>
    <w:tmpl w:val="4E5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CF52B3"/>
    <w:multiLevelType w:val="multilevel"/>
    <w:tmpl w:val="ACB6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33B45"/>
    <w:multiLevelType w:val="multilevel"/>
    <w:tmpl w:val="2E58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A43FE"/>
    <w:multiLevelType w:val="multilevel"/>
    <w:tmpl w:val="474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54C39"/>
    <w:multiLevelType w:val="multilevel"/>
    <w:tmpl w:val="CA8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4B642E"/>
    <w:multiLevelType w:val="multilevel"/>
    <w:tmpl w:val="15E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01238E"/>
    <w:multiLevelType w:val="multilevel"/>
    <w:tmpl w:val="79065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156A9"/>
    <w:multiLevelType w:val="multilevel"/>
    <w:tmpl w:val="CFA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4A1EA9"/>
    <w:multiLevelType w:val="multilevel"/>
    <w:tmpl w:val="031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5C2C86"/>
    <w:multiLevelType w:val="multilevel"/>
    <w:tmpl w:val="B678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32262B"/>
    <w:multiLevelType w:val="multilevel"/>
    <w:tmpl w:val="FC4A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913DA8"/>
    <w:multiLevelType w:val="multilevel"/>
    <w:tmpl w:val="449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B7706D"/>
    <w:multiLevelType w:val="multilevel"/>
    <w:tmpl w:val="C13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7"/>
  </w:num>
  <w:num w:numId="4">
    <w:abstractNumId w:val="11"/>
  </w:num>
  <w:num w:numId="5">
    <w:abstractNumId w:val="12"/>
  </w:num>
  <w:num w:numId="6">
    <w:abstractNumId w:val="9"/>
  </w:num>
  <w:num w:numId="7">
    <w:abstractNumId w:val="13"/>
  </w:num>
  <w:num w:numId="8">
    <w:abstractNumId w:val="2"/>
  </w:num>
  <w:num w:numId="9">
    <w:abstractNumId w:val="0"/>
  </w:num>
  <w:num w:numId="10">
    <w:abstractNumId w:val="4"/>
  </w:num>
  <w:num w:numId="11">
    <w:abstractNumId w:val="15"/>
  </w:num>
  <w:num w:numId="12">
    <w:abstractNumId w:val="8"/>
  </w:num>
  <w:num w:numId="13">
    <w:abstractNumId w:val="16"/>
  </w:num>
  <w:num w:numId="14">
    <w:abstractNumId w:val="5"/>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00"/>
    <w:rsid w:val="00327596"/>
    <w:rsid w:val="00D56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127B-6D37-43A5-A06A-584D3A72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D5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4335</Words>
  <Characters>22978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2015-05-11T18:09:00Z</dcterms:created>
  <dcterms:modified xsi:type="dcterms:W3CDTF">2015-05-11T18:10:00Z</dcterms:modified>
</cp:coreProperties>
</file>