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3F" w:rsidRDefault="00342D3F" w:rsidP="00342D3F">
      <w:pPr>
        <w:pStyle w:val="NormalWeb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Boverkets byggråd nr 79</w:t>
      </w:r>
    </w:p>
    <w:p w:rsidR="00342D3F" w:rsidRDefault="00342D3F" w:rsidP="00342D3F">
      <w:pPr>
        <w:pStyle w:val="NormalWeb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Tid: 27 april 2011 kl 14.00 – 16.00</w:t>
      </w:r>
    </w:p>
    <w:p w:rsidR="00342D3F" w:rsidRPr="00342D3F" w:rsidRDefault="00342D3F" w:rsidP="00342D3F">
      <w:pPr>
        <w:pStyle w:val="NormalWeb"/>
        <w:rPr>
          <w:rFonts w:ascii="Arial" w:hAnsi="Arial" w:cs="Arial"/>
          <w:b/>
          <w:bCs/>
          <w:color w:val="FF0000"/>
          <w:sz w:val="27"/>
          <w:szCs w:val="27"/>
          <w:lang w:val="en-US"/>
        </w:rPr>
      </w:pPr>
      <w:r w:rsidRPr="00342D3F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Plats: City Conference Centre, Stockholm</w:t>
      </w:r>
    </w:p>
    <w:p w:rsidR="00342D3F" w:rsidRPr="00342D3F" w:rsidRDefault="00342D3F" w:rsidP="00342D3F">
      <w:pPr>
        <w:pStyle w:val="NormalWeb"/>
        <w:rPr>
          <w:rFonts w:ascii="Arial" w:hAnsi="Arial" w:cs="Arial"/>
          <w:color w:val="000000"/>
          <w:sz w:val="27"/>
          <w:szCs w:val="27"/>
          <w:lang w:val="en-US"/>
        </w:rPr>
      </w:pPr>
      <w:r w:rsidRPr="00342D3F">
        <w:rPr>
          <w:rFonts w:ascii="Arial" w:hAnsi="Arial" w:cs="Arial"/>
          <w:color w:val="000000"/>
          <w:sz w:val="27"/>
          <w:szCs w:val="27"/>
          <w:lang w:val="en-US"/>
        </w:rPr>
        <w:t>______________________________________________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Deltagare</w:t>
      </w:r>
    </w:p>
    <w:p w:rsidR="00342D3F" w:rsidRDefault="00342D3F" w:rsidP="00342D3F">
      <w:pPr>
        <w:pStyle w:val="NormalWeb"/>
        <w:rPr>
          <w:rFonts w:ascii="Calibri-Bold" w:hAnsi="Calibri-Bold"/>
          <w:b/>
          <w:bCs/>
          <w:color w:val="000000"/>
          <w:sz w:val="27"/>
          <w:szCs w:val="27"/>
        </w:rPr>
      </w:pPr>
      <w:r>
        <w:rPr>
          <w:rFonts w:ascii="Calibri-Bold" w:hAnsi="Calibri-Bold"/>
          <w:b/>
          <w:bCs/>
          <w:color w:val="000000"/>
          <w:sz w:val="27"/>
          <w:szCs w:val="27"/>
        </w:rPr>
        <w:t>Ledamöter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Björk Monica Byggmaterialindustrierna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Björs Mats Byggherrarna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Bergkvist Kerstin Sveriges VVS‐inspektörer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Celinska Karolina Handikappförbundens Samarbetsorgan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Chantereau Yves Svenska Teknik &amp; Designföretagen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Dobi Magdi Kvalitetsansvarigas förening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Everitt Magnus VVS‐företagen (ersättare)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Gehlin Signhild Energi‐ och miljötekniska föreningen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Kumar Yogesh Fastighetsägarna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Larsson Karl‐Eric Försäkringsförbundet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Lagrell Hedvig Sveriges byggindustrier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Lindeberg Karin Hyresgästerna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Ludvigsson Arne Stadsarkitektföreningen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Luther Marie‐Louise Astma‐ och allergiförbundet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Malmbo Linda SKL (ersätter Anna Eklund)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Permats Britta Svensk Ventilation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Rosenkilde Anders Trä‐ och möbelindustriförbundet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lastRenderedPageBreak/>
        <w:t>Södersten Lena Villaägarna</w:t>
      </w:r>
    </w:p>
    <w:p w:rsidR="00342D3F" w:rsidRDefault="00342D3F" w:rsidP="00342D3F">
      <w:pPr>
        <w:pStyle w:val="NormalWeb"/>
        <w:rPr>
          <w:rFonts w:ascii="Calibri-Bold" w:hAnsi="Calibri-Bold"/>
          <w:b/>
          <w:bCs/>
          <w:color w:val="000000"/>
          <w:sz w:val="27"/>
          <w:szCs w:val="27"/>
        </w:rPr>
      </w:pPr>
      <w:r>
        <w:rPr>
          <w:rFonts w:ascii="Calibri-Bold" w:hAnsi="Calibri-Bold"/>
          <w:b/>
          <w:bCs/>
          <w:color w:val="000000"/>
          <w:sz w:val="27"/>
          <w:szCs w:val="27"/>
        </w:rPr>
        <w:t>Ej närvarande: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Andersson Jonas Föreningen Sveriges Byggnadsinspektörer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Eklund Anna Sveriges kommuner och landsting</w:t>
      </w:r>
    </w:p>
    <w:p w:rsidR="00342D3F" w:rsidRDefault="00342D3F" w:rsidP="00342D3F">
      <w:pPr>
        <w:pStyle w:val="NormalWeb"/>
        <w:rPr>
          <w:rFonts w:ascii="Calibri" w:hAnsi="Calibri"/>
          <w:color w:val="1D1B11"/>
          <w:sz w:val="27"/>
          <w:szCs w:val="27"/>
        </w:rPr>
      </w:pPr>
      <w:r>
        <w:rPr>
          <w:rFonts w:ascii="Calibri" w:hAnsi="Calibri"/>
          <w:color w:val="1D1B11"/>
          <w:sz w:val="27"/>
          <w:szCs w:val="27"/>
        </w:rPr>
        <w:t>Gustavsson Gösta SABO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Janson Magnus Svenska Byggingenjörers Riksförbund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Sundberg Kajsa SVR Samhällsbyggarna</w:t>
      </w:r>
    </w:p>
    <w:p w:rsidR="00342D3F" w:rsidRDefault="00342D3F" w:rsidP="00342D3F">
      <w:pPr>
        <w:pStyle w:val="NormalWeb"/>
        <w:rPr>
          <w:rFonts w:ascii="Calibri-Bold" w:hAnsi="Calibri-Bold"/>
          <w:b/>
          <w:bCs/>
          <w:color w:val="000000"/>
          <w:sz w:val="27"/>
          <w:szCs w:val="27"/>
        </w:rPr>
      </w:pPr>
      <w:r>
        <w:rPr>
          <w:rFonts w:ascii="Calibri-Bold" w:hAnsi="Calibri-Bold"/>
          <w:b/>
          <w:bCs/>
          <w:color w:val="000000"/>
          <w:sz w:val="27"/>
          <w:szCs w:val="27"/>
        </w:rPr>
        <w:t>Från Boverket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Hjortsberg Madeleine Enheten för Byggregler, sekreterare i byggrådet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Ryding Otto Enheten för enheten för boende, arkitektur och stadsutveckling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Tolstoy Nikolaj ordförande byggrådet</w:t>
      </w:r>
    </w:p>
    <w:p w:rsidR="00342D3F" w:rsidRDefault="00342D3F" w:rsidP="00342D3F">
      <w:pPr>
        <w:pStyle w:val="NormalWeb"/>
        <w:rPr>
          <w:rFonts w:ascii="Calibri-Bold" w:hAnsi="Calibri-Bold"/>
          <w:b/>
          <w:bCs/>
          <w:color w:val="000000"/>
          <w:sz w:val="27"/>
          <w:szCs w:val="27"/>
        </w:rPr>
      </w:pPr>
      <w:r>
        <w:rPr>
          <w:rFonts w:ascii="Calibri-Bold" w:hAnsi="Calibri-Bold"/>
          <w:b/>
          <w:bCs/>
          <w:color w:val="000000"/>
          <w:sz w:val="27"/>
          <w:szCs w:val="27"/>
        </w:rPr>
        <w:t>Gäster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Rydstedt Therese SABO</w:t>
      </w:r>
    </w:p>
    <w:p w:rsidR="00342D3F" w:rsidRDefault="00342D3F" w:rsidP="00342D3F">
      <w:pPr>
        <w:pStyle w:val="NormalWeb"/>
        <w:rPr>
          <w:rFonts w:ascii="Calibri-Bold" w:hAnsi="Calibri-Bold"/>
          <w:b/>
          <w:bCs/>
          <w:color w:val="000000"/>
          <w:sz w:val="27"/>
          <w:szCs w:val="27"/>
        </w:rPr>
      </w:pPr>
      <w:r>
        <w:rPr>
          <w:rFonts w:ascii="Calibri-Bold" w:hAnsi="Calibri-Bold"/>
          <w:b/>
          <w:bCs/>
          <w:color w:val="000000"/>
          <w:sz w:val="27"/>
          <w:szCs w:val="27"/>
        </w:rPr>
        <w:t>Klickbara bilagor:</w:t>
      </w:r>
    </w:p>
    <w:p w:rsidR="00342D3F" w:rsidRDefault="00342D3F" w:rsidP="00342D3F">
      <w:pPr>
        <w:pStyle w:val="NormalWeb"/>
        <w:rPr>
          <w:rFonts w:ascii="Calibri" w:hAnsi="Calibri"/>
          <w:color w:val="4F83BE"/>
          <w:sz w:val="27"/>
          <w:szCs w:val="27"/>
        </w:rPr>
      </w:pPr>
      <w:r>
        <w:rPr>
          <w:rFonts w:ascii="Calibri" w:hAnsi="Calibri"/>
          <w:color w:val="4F83BE"/>
          <w:sz w:val="27"/>
          <w:szCs w:val="27"/>
        </w:rPr>
        <w:t>Bilaga 1 Boverkets ändringsregler – beslutad version</w:t>
      </w:r>
    </w:p>
    <w:p w:rsidR="00342D3F" w:rsidRDefault="00342D3F" w:rsidP="00342D3F">
      <w:pPr>
        <w:pStyle w:val="NormalWeb"/>
        <w:rPr>
          <w:rFonts w:ascii="Calibri" w:hAnsi="Calibri"/>
          <w:color w:val="4F83BE"/>
          <w:sz w:val="27"/>
          <w:szCs w:val="27"/>
        </w:rPr>
      </w:pPr>
      <w:r>
        <w:rPr>
          <w:rFonts w:ascii="Calibri" w:hAnsi="Calibri"/>
          <w:color w:val="4F83BE"/>
          <w:sz w:val="27"/>
          <w:szCs w:val="27"/>
        </w:rPr>
        <w:t>Bilaga 2 Boverkets ändringsregler – Otto Rydings ppt‐presentation</w:t>
      </w:r>
    </w:p>
    <w:p w:rsidR="00342D3F" w:rsidRDefault="00342D3F" w:rsidP="00342D3F">
      <w:pPr>
        <w:pStyle w:val="NormalWeb"/>
        <w:rPr>
          <w:rFonts w:ascii="Calibri-Bold" w:hAnsi="Calibri-Bold"/>
          <w:b/>
          <w:bCs/>
          <w:color w:val="000000"/>
          <w:sz w:val="27"/>
          <w:szCs w:val="27"/>
        </w:rPr>
      </w:pPr>
      <w:r>
        <w:rPr>
          <w:rFonts w:ascii="Calibri-Bold" w:hAnsi="Calibri-Bold"/>
          <w:b/>
          <w:bCs/>
          <w:color w:val="000000"/>
          <w:sz w:val="27"/>
          <w:szCs w:val="27"/>
        </w:rPr>
        <w:t>1. Inledning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Nikolaj Tolstoy hälsade alla välkomna till ett kort tvåtimmars möte med byggrådet. Tidigare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under dagen hade flera av ledamöterna deltagit i ett frukost möte samt en utbildning om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plan‐ och bygglagens byggfrågor arrangerat av PBL‐kommittén.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Eftersom mötet bara var 2 timmar långt stod endast en fråga på dagordningen, nämligen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Boverkets ändringsregler. Denna fråga diskuterades livligt på föregående möte och det fanns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önskemål om fördjupade kunskaper kring hur ändringsreglerna är tänkta att fungera.</w:t>
      </w:r>
    </w:p>
    <w:p w:rsidR="00342D3F" w:rsidRDefault="00342D3F" w:rsidP="00342D3F">
      <w:pPr>
        <w:pStyle w:val="NormalWeb"/>
        <w:rPr>
          <w:rFonts w:ascii="Calibri-Bold" w:hAnsi="Calibri-Bold"/>
          <w:b/>
          <w:bCs/>
          <w:color w:val="000000"/>
          <w:sz w:val="27"/>
          <w:szCs w:val="27"/>
        </w:rPr>
      </w:pPr>
      <w:r>
        <w:rPr>
          <w:rFonts w:ascii="Calibri-Bold" w:hAnsi="Calibri-Bold"/>
          <w:b/>
          <w:bCs/>
          <w:color w:val="000000"/>
          <w:sz w:val="27"/>
          <w:szCs w:val="27"/>
        </w:rPr>
        <w:t>2. Boverkets ändringsregler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Otto Ryding, Boverkets projektledare för nya ändringsföreskrifter, redovisade hur dagens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och morgondagens ändringsregler ser ut. Nedanstående sammanfattning är bara översiktlig,</w:t>
      </w:r>
    </w:p>
    <w:p w:rsidR="00342D3F" w:rsidRDefault="00342D3F" w:rsidP="00342D3F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för mer detaljer se Otto Rydings power‐point presentation i bilaga 2.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-Italic" w:hAnsi="Calibri-Italic"/>
          <w:i/>
          <w:iCs/>
          <w:color w:val="000000"/>
          <w:sz w:val="27"/>
          <w:szCs w:val="27"/>
        </w:rPr>
        <w:t>Förslaget</w:t>
      </w:r>
      <w:r>
        <w:rPr>
          <w:rStyle w:val="apple-converted-space"/>
          <w:rFonts w:ascii="Calibri-Italic" w:hAnsi="Calibri-Italic"/>
          <w:i/>
          <w:i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till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ändringsföreskrifter skickades ut till byggrådet i förväg. Föreskrifterna kommer att föredras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för en styrgrupp på Boverket den 28 april 2011 och därefter skickas det på notifiering inom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EU. Föreskrifterna som EU‐notifierats bifogas detta protokoll (bilaga 1). Föreskrifterna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beräknas träda i kraft den 1 oktober 2011.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Ändringsreglerna är ett förtydligande av kraven i plan‐ och bygglagen (PBL). Hur dessa krav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har uttolkats i nybyggnadsituationen framgår av Boverkets byggregler (BBR). Boverket kan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inte förtydliga allt utan det styrs av Regeringens bemyndigande/mandat till Boverket.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Lagkrav om ändring finns i PBL 8 kap 2 § 3 punkten och i PBL 8 kap 5 § PBL. Kraven gäller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ändringar av alla typer av byggnader från små till stora och från äldre byggnader i Gamla stan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till byggnader som uppfördes i går.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Yogesh Kumar undrade om Boverket kommer att ge ut en vägledning till kommunerna om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hur ändring ska hanteras? Otto Ryding svarade att första kapitlet i BBR samt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läsanvisningarna kommer att innehålla viss information om det. Det är dock väsentligt att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göra en utbildningssatsning i samband med att den reviderade BBR träder ikraft.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När det gäller det nya ombyggnadsbegreppet påtalade Boverket redan under remisstiden att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begreppet behövde förtydligas, men så har inte skett. Boverket har inget bemyndigande att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precisera begreppet. Det finns däremot inga formella hinder mot att Boverket uttalar sin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åsikt om hur begreppet bör tolkas, men eftersom ett sådant uttalande inte har någon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bindande verkan mot beslutande myndigheter finns det en uppenbar risk att det skulle leda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till att enskilda ges falska förespeglingar.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Vad är en ändrad del? Otto Ryding exemplifierade med ett avloppsrör där det endast var den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del som hade bytts ut som var ändrad del. Det är med andra ord den byggdel som ändras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som är den ändrade delen.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Vad är ombyggnad? Ombyggnad är också ändring. Vad som menas med påtaglig förnyelse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får avgöras i domstolarna. I samband med de olika PBL‐utredningarna har olika förslag förts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fram, bl. a.. att byggnaden skulle anses vara påtagligt förnya om åtgärden motsvarade 25 %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av byggnadens värde. Boverket har ansett att uttrycket bör kopplas till de faktiska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åtgärdernas omfattning.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Hur liten kan en åtgärd vara för att beaktas som en ändring? Kan ett hål vara en ändring? Ja,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om det görs i t.ex. en brandvägg eller i en fuktspärr. Avgörande är konsekvenserna för bl. a.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de tekniska egenskapskrav och byggnadens kulturvärden.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Om en fastighetsägare vill återskapa ett nedbrunnet tak? Om ett gammalt tak ersätts med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ett nytt kan byggnadsnämnden troligen ställa krav på brandsäkerhet, u‐värde etc. Vad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händer om fastighetsägaren vill ersätta dörrar i nedbrunna utfackningsväggar med dörrar av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samma otillgängliga typ som tidigare? I ett yttrande till kammarrätten har Boverket ansett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att i den situationen så går det att ställa krav på väggen och dörren. Målet har dock inte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avgjorts ännu.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Byggnadens förutsättningar kan utgöra skäl för att anpassa och göra avsteg ifrån de tekniska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egenskapskraven.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Tekniska förutsättningar – t.ex. en tilläggsisolering som gör att en altandörr inte kan öppnas.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Ekonomiska förutsättningar – rimlig kostnad med hänsyn till nyttan. Handlar dock inte om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storleken på fastighetsägarens plånbok.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Varsamhet och boendekvaliteter – t.ex. om man måste ta bort en garderob i en liten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lägenhet med få förvaringsmöjligheter.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Vad gäller vid ändrad användning, t.ex. en ny förskola i en lägenhet? I det fallet är det hela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lokalen som fått ändrad användning. Vad innebär då ”hänsyn till ändringens omfattning”?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Eftersom ändringen innebär att fler människor kommer att vistas i lägenheten är det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förmodligen rimligt att ställa krav på t.ex. ventilation, barnsäkerhet och utrymningssäkerhet.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Men kan byggnadsnämnden ställa krav på ytterväggarnas energieffektivitet? Nej, troligen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inte.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Alla krav ska beaktas hela tiden, men anpassningsutrymmet kan variera. I grunden gäller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byggreglerna, se 8 kap 7 § PBL, men ändringsreglerna fokuserar framför allt på hur man ska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resonera för att hitta lösningen i det enskilda fallet.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Marie‐Louise Luther undrade vilka synnerliga skäl det kan finnas för att behålla farliga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material vid en ombyggnad. Kan det t.ex. vara att det finns sätt att ta hand om de farliga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materialen utan att ta bort dem?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Otto Ryding: Går det att tydligt tala om vad som gäller vid alla ändringar? Det är inte alltid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lätt, t.ex. kan det vara olämpligt med nödbelysning i trappor i en gammal kyrksal.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Fastighetsägaren/byggherren måste skaffa kunskap om sin byggnad.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Yogesh Kumar undrade om Boverket tagit hänsyn till tidigare remissvaren om BÄR? Otto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Ryding svarade att remissynpunkter som påpekat att krav har satts på fel nivå har beaktats.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Ett exempel är en kommentar om att radonvärdet ligger på för hög nivå (Arbetsmiljöverket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säger 400 Bq och Socialstyrelsen har krav på radonvärde i skolor på 200 Bq). Boverkets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ändringsregler ska inte vara strängare än andra myndighetsregler.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Yogesh Kumar efterlyste en konsekvensbeskrivning för BÄR. Otto Ryding berättade att en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utgångspunkt för arbetet var att ändringsreglerna inte fick innebära några större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konsekvenser i förhållande till förordningens och lagens krav. Syftet har varit att förtydliga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gällande regelverk, inte att förändra det.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Yogesh Kumar undrade om information som byggrådet fått kommer att lämnas till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kommunerna? Nikolaj Tolstoy sa att Boverket informerar vidare till hösten i samband med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ikraftträdandet av BÄR. Yvonne Svensson berättade att ändring och ombyggnad inte berörs i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den lärarutbildning som PBL‐kommittén genomför just nu. Men avvägningar kring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ändringsfallen utgör grunden för PBL och måste tas med i fördjupningskurser.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Therese Rydstedt tyckte att energikraven väger lätt jämfört med bevarandekraven i BÄR.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Men Sverige ska ju halvera energianvändningen och hur ska det göras om byggnaderna inte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får ändras? Otto Ryding menade att det ibland är konflikter mellan egenskapskrav och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bevarandekraven, men för många hustyper borde det inte finnas några hinder att ta fram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fönster som tillgodoser såväl utformningskraven som kraven på energieffektivitet. Mats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Björs trodde att det blir omöjligt att tilläggsisolera i stort sett hela Stockholms innerstad.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Otto Ryding konstaterade att nya fönster ofta innebär mindre ljusinsläpp vilket naturligtvis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är negativt. Å andra sidan byts många fönster från 70‐talet i dag och då finns chans att byta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till fönster som är såväl energieffektivare som bättre utformade.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Otto Ryding avslutade med att byggnadsnämnden aldrig kan ställa hårdare krav i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ändringsfallet än vid nybyggnad.</w:t>
      </w:r>
    </w:p>
    <w:p w:rsidR="00342D3F" w:rsidRDefault="00342D3F" w:rsidP="00342D3F">
      <w:pPr>
        <w:pStyle w:val="NormalWeb"/>
        <w:rPr>
          <w:rFonts w:ascii="Calibri-Bold" w:hAnsi="Calibri-Bold"/>
          <w:b/>
          <w:bCs/>
          <w:color w:val="000000"/>
          <w:sz w:val="27"/>
          <w:szCs w:val="27"/>
        </w:rPr>
      </w:pPr>
      <w:r>
        <w:rPr>
          <w:rFonts w:ascii="Calibri-Bold" w:hAnsi="Calibri-Bold"/>
          <w:b/>
          <w:bCs/>
          <w:color w:val="000000"/>
          <w:sz w:val="27"/>
          <w:szCs w:val="27"/>
        </w:rPr>
        <w:t>3. Nästa byggråd:</w:t>
      </w:r>
    </w:p>
    <w:p w:rsidR="00342D3F" w:rsidRDefault="00342D3F" w:rsidP="00342D3F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Nästa möte är planerat till den 15 september 2011 kl 10.15 – 15.00 i Karlskrona.</w:t>
      </w:r>
    </w:p>
    <w:p w:rsidR="00CA0CC7" w:rsidRPr="00342D3F" w:rsidRDefault="00CA0CC7" w:rsidP="00342D3F">
      <w:bookmarkStart w:id="0" w:name="_GoBack"/>
      <w:bookmarkEnd w:id="0"/>
    </w:p>
    <w:sectPr w:rsidR="00CA0CC7" w:rsidRPr="0034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3F"/>
    <w:rsid w:val="00342D3F"/>
    <w:rsid w:val="00C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90E3-3C75-4BCA-95BB-FB930CE4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34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bofeldt</dc:creator>
  <cp:keywords/>
  <dc:description/>
  <cp:lastModifiedBy>ida bofeldt</cp:lastModifiedBy>
  <cp:revision>1</cp:revision>
  <dcterms:created xsi:type="dcterms:W3CDTF">2015-05-11T17:58:00Z</dcterms:created>
  <dcterms:modified xsi:type="dcterms:W3CDTF">2015-05-11T17:58:00Z</dcterms:modified>
</cp:coreProperties>
</file>